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23" w:rsidRDefault="00FB5623" w:rsidP="00FB5623">
      <w:pPr>
        <w:ind w:right="-900"/>
        <w:rPr>
          <w:rFonts w:ascii="Palatino" w:hAnsi="Palatino"/>
          <w:b/>
          <w:bCs/>
          <w:sz w:val="28"/>
          <w:szCs w:val="28"/>
        </w:rPr>
      </w:pPr>
      <w:bookmarkStart w:id="0" w:name="_GoBack"/>
      <w:r w:rsidRPr="00FB5623">
        <w:rPr>
          <w:rFonts w:ascii="Palatino" w:hAnsi="Palatino"/>
          <w:b/>
          <w:bCs/>
          <w:sz w:val="28"/>
          <w:szCs w:val="28"/>
        </w:rPr>
        <w:t>MODEL RUBRIC –</w:t>
      </w:r>
      <w:r>
        <w:rPr>
          <w:rFonts w:ascii="Palatino" w:hAnsi="Palatino"/>
          <w:b/>
          <w:bCs/>
          <w:sz w:val="28"/>
          <w:szCs w:val="28"/>
        </w:rPr>
        <w:t xml:space="preserve"> </w:t>
      </w:r>
      <w:r w:rsidRPr="00FB5623">
        <w:rPr>
          <w:rFonts w:ascii="Palatino" w:hAnsi="Palatino"/>
          <w:b/>
          <w:bCs/>
          <w:sz w:val="28"/>
          <w:szCs w:val="28"/>
        </w:rPr>
        <w:t>ARGUMENT PAPER</w:t>
      </w:r>
      <w:r>
        <w:rPr>
          <w:rFonts w:ascii="Palatino" w:hAnsi="Palatino"/>
          <w:b/>
          <w:bCs/>
          <w:sz w:val="28"/>
          <w:szCs w:val="28"/>
        </w:rPr>
        <w:t xml:space="preserve"> for DR. BURKS’S </w:t>
      </w:r>
      <w:bookmarkEnd w:id="0"/>
      <w:r>
        <w:rPr>
          <w:rFonts w:ascii="Palatino" w:hAnsi="Palatino"/>
          <w:b/>
          <w:bCs/>
          <w:sz w:val="28"/>
          <w:szCs w:val="28"/>
        </w:rPr>
        <w:t>BIODIVERSITY CLASS</w:t>
      </w:r>
    </w:p>
    <w:p w:rsidR="00FB5623" w:rsidRPr="00FB5623" w:rsidRDefault="00FB5623" w:rsidP="00FB5623">
      <w:pPr>
        <w:ind w:right="540"/>
        <w:rPr>
          <w:rFonts w:ascii="Palatino" w:hAnsi="Palatino"/>
          <w:b/>
          <w:bCs/>
        </w:rPr>
      </w:pPr>
      <w:r w:rsidRPr="00FB5623">
        <w:rPr>
          <w:rFonts w:ascii="Palatino" w:hAnsi="Palatino"/>
          <w:b/>
          <w:bCs/>
        </w:rPr>
        <w:t>(Developed with Dr. Bourque – prompt is available on following page)</w:t>
      </w:r>
    </w:p>
    <w:p w:rsidR="00FB5623" w:rsidRPr="00FB5623" w:rsidRDefault="00FB5623" w:rsidP="00FB5623">
      <w:pPr>
        <w:widowControl w:val="0"/>
        <w:suppressAutoHyphens/>
        <w:jc w:val="center"/>
        <w:rPr>
          <w:rFonts w:ascii="Palatino" w:eastAsia="SimSun" w:hAnsi="Palatino"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80"/>
        <w:gridCol w:w="2308"/>
        <w:gridCol w:w="1995"/>
        <w:gridCol w:w="1994"/>
        <w:gridCol w:w="1995"/>
      </w:tblGrid>
      <w:tr w:rsidR="00FB5623" w:rsidRPr="00FB5623" w:rsidTr="007A03FF">
        <w:tc>
          <w:tcPr>
            <w:tcW w:w="1680" w:type="dxa"/>
            <w:tcBorders>
              <w:top w:val="single" w:sz="1" w:space="0" w:color="000000"/>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p>
        </w:tc>
        <w:tc>
          <w:tcPr>
            <w:tcW w:w="2308" w:type="dxa"/>
            <w:tcBorders>
              <w:top w:val="single" w:sz="1" w:space="0" w:color="000000"/>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b/>
                <w:bCs/>
                <w:kern w:val="1"/>
                <w:sz w:val="20"/>
                <w:szCs w:val="20"/>
                <w:lang w:eastAsia="hi-IN" w:bidi="hi-IN"/>
              </w:rPr>
            </w:pPr>
            <w:r w:rsidRPr="00FB5623">
              <w:rPr>
                <w:rFonts w:ascii="Palatino" w:eastAsia="SimSun" w:hAnsi="Palatino" w:cs="Mangal"/>
                <w:b/>
                <w:bCs/>
                <w:kern w:val="1"/>
                <w:sz w:val="20"/>
                <w:szCs w:val="20"/>
                <w:lang w:eastAsia="hi-IN" w:bidi="hi-IN"/>
              </w:rPr>
              <w:t xml:space="preserve">Unsatisfactory </w:t>
            </w:r>
          </w:p>
        </w:tc>
        <w:tc>
          <w:tcPr>
            <w:tcW w:w="1995" w:type="dxa"/>
            <w:tcBorders>
              <w:top w:val="single" w:sz="1" w:space="0" w:color="000000"/>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b/>
                <w:bCs/>
                <w:kern w:val="1"/>
                <w:sz w:val="20"/>
                <w:szCs w:val="20"/>
                <w:lang w:eastAsia="hi-IN" w:bidi="hi-IN"/>
              </w:rPr>
            </w:pPr>
            <w:r w:rsidRPr="00FB5623">
              <w:rPr>
                <w:rFonts w:ascii="Palatino" w:eastAsia="SimSun" w:hAnsi="Palatino" w:cs="Mangal"/>
                <w:b/>
                <w:bCs/>
                <w:kern w:val="1"/>
                <w:sz w:val="20"/>
                <w:szCs w:val="20"/>
                <w:lang w:eastAsia="hi-IN" w:bidi="hi-IN"/>
              </w:rPr>
              <w:t xml:space="preserve">Satisfactory </w:t>
            </w:r>
          </w:p>
        </w:tc>
        <w:tc>
          <w:tcPr>
            <w:tcW w:w="1994" w:type="dxa"/>
            <w:tcBorders>
              <w:top w:val="single" w:sz="1" w:space="0" w:color="000000"/>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b/>
                <w:bCs/>
                <w:kern w:val="1"/>
                <w:sz w:val="20"/>
                <w:szCs w:val="20"/>
                <w:lang w:eastAsia="hi-IN" w:bidi="hi-IN"/>
              </w:rPr>
            </w:pPr>
            <w:r w:rsidRPr="00FB5623">
              <w:rPr>
                <w:rFonts w:ascii="Palatino" w:eastAsia="SimSun" w:hAnsi="Palatino" w:cs="Mangal"/>
                <w:b/>
                <w:bCs/>
                <w:kern w:val="1"/>
                <w:sz w:val="20"/>
                <w:szCs w:val="20"/>
                <w:lang w:eastAsia="hi-IN" w:bidi="hi-IN"/>
              </w:rPr>
              <w:t xml:space="preserve">Good Quality </w:t>
            </w:r>
          </w:p>
        </w:tc>
        <w:tc>
          <w:tcPr>
            <w:tcW w:w="1995" w:type="dxa"/>
            <w:tcBorders>
              <w:top w:val="single" w:sz="1" w:space="0" w:color="000000"/>
              <w:left w:val="single" w:sz="1" w:space="0" w:color="000000"/>
              <w:bottom w:val="single" w:sz="1" w:space="0" w:color="000000"/>
              <w:right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b/>
                <w:bCs/>
                <w:kern w:val="1"/>
                <w:sz w:val="20"/>
                <w:szCs w:val="20"/>
                <w:lang w:eastAsia="hi-IN" w:bidi="hi-IN"/>
              </w:rPr>
            </w:pPr>
            <w:r w:rsidRPr="00FB5623">
              <w:rPr>
                <w:rFonts w:ascii="Palatino" w:eastAsia="SimSun" w:hAnsi="Palatino" w:cs="Mangal"/>
                <w:b/>
                <w:bCs/>
                <w:kern w:val="1"/>
                <w:sz w:val="20"/>
                <w:szCs w:val="20"/>
                <w:lang w:eastAsia="hi-IN" w:bidi="hi-IN"/>
              </w:rPr>
              <w:t xml:space="preserve">Excellent </w:t>
            </w:r>
          </w:p>
        </w:tc>
      </w:tr>
      <w:tr w:rsidR="00FB5623" w:rsidRPr="00FB5623" w:rsidTr="007A03FF">
        <w:tc>
          <w:tcPr>
            <w:tcW w:w="1680"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b/>
                <w:bCs/>
                <w:kern w:val="1"/>
                <w:sz w:val="20"/>
                <w:szCs w:val="20"/>
                <w:lang w:eastAsia="hi-IN" w:bidi="hi-IN"/>
              </w:rPr>
            </w:pPr>
            <w:r>
              <w:rPr>
                <w:rFonts w:ascii="Palatino" w:eastAsia="SimSun" w:hAnsi="Palatino" w:cs="Mangal"/>
                <w:b/>
                <w:bCs/>
                <w:kern w:val="1"/>
                <w:sz w:val="20"/>
                <w:szCs w:val="20"/>
                <w:lang w:eastAsia="hi-IN" w:bidi="hi-IN"/>
              </w:rPr>
              <w:t xml:space="preserve">Clear statement of support for teaching the text </w:t>
            </w:r>
          </w:p>
        </w:tc>
        <w:tc>
          <w:tcPr>
            <w:tcW w:w="2308"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Statement absent or unclear.  Argument muddled by tangential information.</w:t>
            </w:r>
          </w:p>
        </w:tc>
        <w:tc>
          <w:tcPr>
            <w:tcW w:w="1995"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Statement present but it lacks justification or reference to TEKS standards.</w:t>
            </w:r>
          </w:p>
        </w:tc>
        <w:tc>
          <w:tcPr>
            <w:tcW w:w="1994"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Clear statement present with some justification but does not draw on more than one TEKS standards.</w:t>
            </w:r>
          </w:p>
        </w:tc>
        <w:tc>
          <w:tcPr>
            <w:tcW w:w="1995" w:type="dxa"/>
            <w:tcBorders>
              <w:left w:val="single" w:sz="1" w:space="0" w:color="000000"/>
              <w:bottom w:val="single" w:sz="1" w:space="0" w:color="000000"/>
              <w:right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Clear statement present that integrates text with multiple TEKS standards.</w:t>
            </w:r>
          </w:p>
        </w:tc>
      </w:tr>
      <w:tr w:rsidR="00FB5623" w:rsidRPr="00FB5623" w:rsidTr="007A03FF">
        <w:tc>
          <w:tcPr>
            <w:tcW w:w="1680"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b/>
                <w:bCs/>
                <w:kern w:val="1"/>
                <w:sz w:val="20"/>
                <w:szCs w:val="20"/>
                <w:lang w:eastAsia="hi-IN" w:bidi="hi-IN"/>
              </w:rPr>
            </w:pPr>
            <w:r w:rsidRPr="00FB5623">
              <w:rPr>
                <w:rFonts w:ascii="Palatino" w:eastAsia="SimSun" w:hAnsi="Palatino" w:cs="Mangal"/>
                <w:b/>
                <w:bCs/>
                <w:kern w:val="1"/>
                <w:sz w:val="20"/>
                <w:szCs w:val="20"/>
                <w:lang w:eastAsia="hi-IN" w:bidi="hi-IN"/>
              </w:rPr>
              <w:t>Critical review of biological principles</w:t>
            </w:r>
          </w:p>
        </w:tc>
        <w:tc>
          <w:tcPr>
            <w:tcW w:w="2308"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Either one or two biological principles not pointed out clearly or explained.</w:t>
            </w:r>
          </w:p>
        </w:tc>
        <w:tc>
          <w:tcPr>
            <w:tcW w:w="1995"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Both principles mentioned but not critically evaluated.</w:t>
            </w:r>
          </w:p>
        </w:tc>
        <w:tc>
          <w:tcPr>
            <w:tcW w:w="1994"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Only one element critically evaluated.</w:t>
            </w:r>
          </w:p>
        </w:tc>
        <w:tc>
          <w:tcPr>
            <w:tcW w:w="1995" w:type="dxa"/>
            <w:tcBorders>
              <w:left w:val="single" w:sz="1" w:space="0" w:color="000000"/>
              <w:bottom w:val="single" w:sz="1" w:space="0" w:color="000000"/>
              <w:right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Both principles clearly identified and evaluated for validity.</w:t>
            </w:r>
          </w:p>
        </w:tc>
      </w:tr>
      <w:tr w:rsidR="00FB5623" w:rsidRPr="00FB5623" w:rsidTr="007A03FF">
        <w:tc>
          <w:tcPr>
            <w:tcW w:w="1680"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b/>
                <w:bCs/>
                <w:kern w:val="1"/>
                <w:sz w:val="20"/>
                <w:szCs w:val="20"/>
                <w:lang w:eastAsia="hi-IN" w:bidi="hi-IN"/>
              </w:rPr>
            </w:pPr>
            <w:r w:rsidRPr="00FB5623">
              <w:rPr>
                <w:rFonts w:ascii="Palatino" w:eastAsia="SimSun" w:hAnsi="Palatino" w:cs="Mangal"/>
                <w:b/>
                <w:bCs/>
                <w:kern w:val="1"/>
                <w:sz w:val="20"/>
                <w:szCs w:val="20"/>
                <w:lang w:eastAsia="hi-IN" w:bidi="hi-IN"/>
              </w:rPr>
              <w:t>Connection to course content, resources and primary literature</w:t>
            </w:r>
          </w:p>
        </w:tc>
        <w:tc>
          <w:tcPr>
            <w:tcW w:w="2308"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 xml:space="preserve">Minimal effort.  Only points out obvious connections to course content.  No supportive sources. </w:t>
            </w:r>
          </w:p>
        </w:tc>
        <w:tc>
          <w:tcPr>
            <w:tcW w:w="1995"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 xml:space="preserve">Touches on basic principles of course on a broad level without providing any explanation.  </w:t>
            </w:r>
          </w:p>
        </w:tc>
        <w:tc>
          <w:tcPr>
            <w:tcW w:w="1994"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 xml:space="preserve">A few connections to course content apparent and supported by citations and specifics.  </w:t>
            </w:r>
          </w:p>
        </w:tc>
        <w:tc>
          <w:tcPr>
            <w:tcW w:w="1995" w:type="dxa"/>
            <w:tcBorders>
              <w:left w:val="single" w:sz="1" w:space="0" w:color="000000"/>
              <w:bottom w:val="single" w:sz="1" w:space="0" w:color="000000"/>
              <w:right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Essay shines with connections to course content, resources and uses proper citations of primary literature.</w:t>
            </w:r>
          </w:p>
        </w:tc>
      </w:tr>
      <w:tr w:rsidR="00FB5623" w:rsidRPr="00FB5623" w:rsidTr="007A03FF">
        <w:tc>
          <w:tcPr>
            <w:tcW w:w="1680"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b/>
                <w:bCs/>
                <w:kern w:val="1"/>
                <w:sz w:val="20"/>
                <w:szCs w:val="20"/>
                <w:lang w:eastAsia="hi-IN" w:bidi="hi-IN"/>
              </w:rPr>
            </w:pPr>
            <w:r w:rsidRPr="00FB5623">
              <w:rPr>
                <w:rFonts w:ascii="Palatino" w:eastAsia="SimSun" w:hAnsi="Palatino" w:cs="Mangal"/>
                <w:b/>
                <w:bCs/>
                <w:kern w:val="1"/>
                <w:sz w:val="20"/>
                <w:szCs w:val="20"/>
                <w:lang w:eastAsia="hi-IN" w:bidi="hi-IN"/>
              </w:rPr>
              <w:t>Engaging style and grammatically sound</w:t>
            </w:r>
          </w:p>
        </w:tc>
        <w:tc>
          <w:tcPr>
            <w:tcW w:w="2308"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Generic, not engaging, Lacks flow and continuity.</w:t>
            </w:r>
          </w:p>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Multiple grammatical errors that make essay difficult to read.</w:t>
            </w:r>
          </w:p>
        </w:tc>
        <w:tc>
          <w:tcPr>
            <w:tcW w:w="1995"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Attempt in engagement apparent but not as successful as possible.  Several grammatical errors distract from content.  Passive voice prevalent.</w:t>
            </w:r>
          </w:p>
        </w:tc>
        <w:tc>
          <w:tcPr>
            <w:tcW w:w="1994" w:type="dxa"/>
            <w:tcBorders>
              <w:left w:val="single" w:sz="1" w:space="0" w:color="000000"/>
              <w:bottom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Engaging but minor grammatical errors present.</w:t>
            </w:r>
          </w:p>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Generally good flow although some lack of transitions.  Integrates active voice well.</w:t>
            </w:r>
          </w:p>
        </w:tc>
        <w:tc>
          <w:tcPr>
            <w:tcW w:w="1995" w:type="dxa"/>
            <w:tcBorders>
              <w:left w:val="single" w:sz="1" w:space="0" w:color="000000"/>
              <w:bottom w:val="single" w:sz="1" w:space="0" w:color="000000"/>
              <w:right w:val="single" w:sz="1" w:space="0" w:color="000000"/>
            </w:tcBorders>
            <w:shd w:val="clear" w:color="auto" w:fill="auto"/>
          </w:tcPr>
          <w:p w:rsidR="00FB5623" w:rsidRPr="00FB5623" w:rsidRDefault="00FB5623" w:rsidP="00FB5623">
            <w:pPr>
              <w:widowControl w:val="0"/>
              <w:suppressLineNumbers/>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An engaging, creative, well put together and supported argument that flows from one point to the next without interruption.  Grammatically perfect.</w:t>
            </w:r>
          </w:p>
        </w:tc>
      </w:tr>
    </w:tbl>
    <w:p w:rsidR="00FB5623" w:rsidRPr="00FB5623" w:rsidRDefault="00FB5623" w:rsidP="00FB5623">
      <w:pPr>
        <w:widowControl w:val="0"/>
        <w:suppressAutoHyphens/>
        <w:rPr>
          <w:rFonts w:ascii="Palatino" w:eastAsia="SimSun" w:hAnsi="Palatino" w:cs="Mangal"/>
          <w:b/>
          <w:bCs/>
          <w:kern w:val="1"/>
          <w:sz w:val="20"/>
          <w:szCs w:val="20"/>
          <w:lang w:eastAsia="hi-IN" w:bidi="hi-IN"/>
        </w:rPr>
      </w:pPr>
    </w:p>
    <w:p w:rsidR="00FB5623" w:rsidRPr="00FB5623" w:rsidRDefault="00FB5623" w:rsidP="00FB5623">
      <w:pPr>
        <w:widowControl w:val="0"/>
        <w:suppressAutoHyphens/>
        <w:rPr>
          <w:rFonts w:ascii="Palatino" w:eastAsia="SimSun" w:hAnsi="Palatino" w:cs="Mangal"/>
          <w:b/>
          <w:bCs/>
          <w:kern w:val="1"/>
          <w:sz w:val="20"/>
          <w:szCs w:val="20"/>
          <w:lang w:eastAsia="hi-IN" w:bidi="hi-IN"/>
        </w:rPr>
      </w:pPr>
      <w:r w:rsidRPr="00FB5623">
        <w:rPr>
          <w:rFonts w:ascii="Palatino" w:eastAsia="SimSun" w:hAnsi="Palatino" w:cs="Mangal"/>
          <w:b/>
          <w:bCs/>
          <w:kern w:val="1"/>
          <w:sz w:val="20"/>
          <w:szCs w:val="20"/>
          <w:lang w:eastAsia="hi-IN" w:bidi="hi-IN"/>
        </w:rPr>
        <w:t>Customized Feedback:</w:t>
      </w:r>
    </w:p>
    <w:p w:rsidR="00FB5623" w:rsidRPr="00FB5623" w:rsidRDefault="00FB5623" w:rsidP="00FB5623">
      <w:pPr>
        <w:widowControl w:val="0"/>
        <w:suppressAutoHyphens/>
        <w:rPr>
          <w:rFonts w:ascii="Palatino" w:eastAsia="SimSun" w:hAnsi="Palatino" w:cs="Mangal"/>
          <w:kern w:val="1"/>
          <w:sz w:val="20"/>
          <w:szCs w:val="20"/>
          <w:lang w:eastAsia="hi-IN" w:bidi="hi-IN"/>
        </w:rPr>
      </w:pPr>
    </w:p>
    <w:p w:rsidR="00FB5623" w:rsidRPr="00FB5623" w:rsidRDefault="00FB5623" w:rsidP="00FB5623">
      <w:pPr>
        <w:widowControl w:val="0"/>
        <w:suppressAutoHyphens/>
        <w:rPr>
          <w:rFonts w:ascii="Palatino" w:eastAsia="SimSun" w:hAnsi="Palatino" w:cs="Mangal"/>
          <w:kern w:val="1"/>
          <w:sz w:val="20"/>
          <w:szCs w:val="20"/>
          <w:lang w:eastAsia="hi-IN" w:bidi="hi-IN"/>
        </w:rPr>
      </w:pPr>
    </w:p>
    <w:p w:rsidR="00FB5623" w:rsidRPr="00FB5623" w:rsidRDefault="00FB5623" w:rsidP="00FB5623">
      <w:pPr>
        <w:widowControl w:val="0"/>
        <w:suppressAutoHyphens/>
        <w:rPr>
          <w:rFonts w:ascii="Palatino" w:eastAsia="SimSun" w:hAnsi="Palatino" w:cs="Mangal"/>
          <w:kern w:val="1"/>
          <w:sz w:val="20"/>
          <w:szCs w:val="20"/>
          <w:lang w:eastAsia="hi-IN" w:bidi="hi-IN"/>
        </w:rPr>
      </w:pPr>
    </w:p>
    <w:p w:rsidR="00FB5623" w:rsidRDefault="00FB5623" w:rsidP="00FB5623">
      <w:pPr>
        <w:widowControl w:val="0"/>
        <w:suppressAutoHyphens/>
        <w:rPr>
          <w:rFonts w:ascii="Palatino" w:eastAsia="SimSun" w:hAnsi="Palatino" w:cs="Mangal"/>
          <w:kern w:val="1"/>
          <w:sz w:val="20"/>
          <w:szCs w:val="20"/>
          <w:lang w:eastAsia="hi-IN" w:bidi="hi-IN"/>
        </w:rPr>
      </w:pPr>
    </w:p>
    <w:p w:rsidR="00FB5623" w:rsidRDefault="00FB5623" w:rsidP="00FB5623">
      <w:pPr>
        <w:widowControl w:val="0"/>
        <w:suppressAutoHyphens/>
        <w:rPr>
          <w:rFonts w:ascii="Palatino" w:eastAsia="SimSun" w:hAnsi="Palatino" w:cs="Mangal"/>
          <w:kern w:val="1"/>
          <w:sz w:val="20"/>
          <w:szCs w:val="20"/>
          <w:lang w:eastAsia="hi-IN" w:bidi="hi-IN"/>
        </w:rPr>
      </w:pPr>
    </w:p>
    <w:p w:rsidR="00FB5623" w:rsidRDefault="00FB5623" w:rsidP="00FB5623">
      <w:pPr>
        <w:widowControl w:val="0"/>
        <w:suppressAutoHyphens/>
        <w:rPr>
          <w:rFonts w:ascii="Palatino" w:eastAsia="SimSun" w:hAnsi="Palatino" w:cs="Mangal"/>
          <w:kern w:val="1"/>
          <w:sz w:val="20"/>
          <w:szCs w:val="20"/>
          <w:lang w:eastAsia="hi-IN" w:bidi="hi-IN"/>
        </w:rPr>
      </w:pPr>
    </w:p>
    <w:p w:rsidR="00FB5623" w:rsidRDefault="00FB5623" w:rsidP="00FB5623">
      <w:pPr>
        <w:widowControl w:val="0"/>
        <w:suppressAutoHyphens/>
        <w:rPr>
          <w:rFonts w:ascii="Palatino" w:eastAsia="SimSun" w:hAnsi="Palatino" w:cs="Mangal"/>
          <w:kern w:val="1"/>
          <w:sz w:val="20"/>
          <w:szCs w:val="20"/>
          <w:lang w:eastAsia="hi-IN" w:bidi="hi-IN"/>
        </w:rPr>
      </w:pPr>
    </w:p>
    <w:p w:rsidR="00FB5623" w:rsidRDefault="00FB5623" w:rsidP="00FB5623">
      <w:pPr>
        <w:widowControl w:val="0"/>
        <w:suppressAutoHyphens/>
        <w:rPr>
          <w:rFonts w:ascii="Palatino" w:eastAsia="SimSun" w:hAnsi="Palatino" w:cs="Mangal"/>
          <w:kern w:val="1"/>
          <w:sz w:val="20"/>
          <w:szCs w:val="20"/>
          <w:lang w:eastAsia="hi-IN" w:bidi="hi-IN"/>
        </w:rPr>
      </w:pPr>
    </w:p>
    <w:p w:rsidR="00FB5623" w:rsidRDefault="00FB5623" w:rsidP="00FB5623">
      <w:pPr>
        <w:widowControl w:val="0"/>
        <w:suppressAutoHyphens/>
        <w:rPr>
          <w:rFonts w:ascii="Palatino" w:eastAsia="SimSun" w:hAnsi="Palatino" w:cs="Mangal"/>
          <w:kern w:val="1"/>
          <w:sz w:val="20"/>
          <w:szCs w:val="20"/>
          <w:lang w:eastAsia="hi-IN" w:bidi="hi-IN"/>
        </w:rPr>
      </w:pPr>
    </w:p>
    <w:p w:rsidR="00FB5623" w:rsidRDefault="00FB5623" w:rsidP="00FB5623">
      <w:pPr>
        <w:widowControl w:val="0"/>
        <w:suppressAutoHyphens/>
        <w:rPr>
          <w:rFonts w:ascii="Palatino" w:eastAsia="SimSun" w:hAnsi="Palatino" w:cs="Mangal"/>
          <w:kern w:val="1"/>
          <w:sz w:val="20"/>
          <w:szCs w:val="20"/>
          <w:lang w:eastAsia="hi-IN" w:bidi="hi-IN"/>
        </w:rPr>
      </w:pPr>
    </w:p>
    <w:p w:rsidR="00FB5623" w:rsidRDefault="00FB5623" w:rsidP="00FB5623">
      <w:pPr>
        <w:widowControl w:val="0"/>
        <w:suppressAutoHyphens/>
        <w:rPr>
          <w:rFonts w:ascii="Palatino" w:eastAsia="SimSun" w:hAnsi="Palatino" w:cs="Mangal"/>
          <w:kern w:val="1"/>
          <w:sz w:val="20"/>
          <w:szCs w:val="20"/>
          <w:lang w:eastAsia="hi-IN" w:bidi="hi-IN"/>
        </w:rPr>
      </w:pPr>
    </w:p>
    <w:p w:rsidR="00FB5623" w:rsidRDefault="00FB5623" w:rsidP="00FB5623">
      <w:pPr>
        <w:widowControl w:val="0"/>
        <w:suppressAutoHyphens/>
        <w:rPr>
          <w:rFonts w:ascii="Palatino" w:eastAsia="SimSun" w:hAnsi="Palatino" w:cs="Mangal"/>
          <w:kern w:val="1"/>
          <w:sz w:val="20"/>
          <w:szCs w:val="20"/>
          <w:lang w:eastAsia="hi-IN" w:bidi="hi-IN"/>
        </w:rPr>
      </w:pPr>
    </w:p>
    <w:p w:rsidR="00FB5623" w:rsidRDefault="00FB5623" w:rsidP="00FB5623">
      <w:pPr>
        <w:widowControl w:val="0"/>
        <w:suppressAutoHyphens/>
        <w:rPr>
          <w:rFonts w:ascii="Palatino" w:eastAsia="SimSun" w:hAnsi="Palatino" w:cs="Mangal"/>
          <w:kern w:val="1"/>
          <w:sz w:val="20"/>
          <w:szCs w:val="20"/>
          <w:lang w:eastAsia="hi-IN" w:bidi="hi-IN"/>
        </w:rPr>
      </w:pPr>
      <w:r w:rsidRPr="00FB5623">
        <w:rPr>
          <w:rFonts w:ascii="Palatino" w:eastAsia="SimSun" w:hAnsi="Palatino" w:cs="Mangal"/>
          <w:kern w:val="1"/>
          <w:sz w:val="20"/>
          <w:szCs w:val="20"/>
          <w:lang w:eastAsia="hi-IN" w:bidi="hi-IN"/>
        </w:rPr>
        <w:t>Final Grade: ___________out of 50</w:t>
      </w:r>
    </w:p>
    <w:p w:rsidR="00FB5623" w:rsidRDefault="00FB5623">
      <w:pPr>
        <w:rPr>
          <w:rFonts w:ascii="Palatino" w:eastAsia="SimSun" w:hAnsi="Palatino" w:cs="Mangal"/>
          <w:kern w:val="1"/>
          <w:sz w:val="20"/>
          <w:szCs w:val="20"/>
          <w:lang w:eastAsia="hi-IN" w:bidi="hi-IN"/>
        </w:rPr>
      </w:pPr>
      <w:r>
        <w:rPr>
          <w:rFonts w:ascii="Palatino" w:eastAsia="SimSun" w:hAnsi="Palatino" w:cs="Mangal"/>
          <w:kern w:val="1"/>
          <w:sz w:val="20"/>
          <w:szCs w:val="20"/>
          <w:lang w:eastAsia="hi-IN" w:bidi="hi-IN"/>
        </w:rPr>
        <w:br w:type="page"/>
      </w:r>
    </w:p>
    <w:p w:rsidR="00FB5623" w:rsidRDefault="00FB5623" w:rsidP="00FB5623">
      <w:pPr>
        <w:widowControl w:val="0"/>
        <w:suppressAutoHyphens/>
        <w:jc w:val="center"/>
        <w:rPr>
          <w:rFonts w:ascii="Calibri" w:eastAsia="SimSun" w:hAnsi="Calibri" w:cs="Mangal"/>
          <w:b/>
          <w:bCs/>
          <w:kern w:val="1"/>
          <w:sz w:val="22"/>
          <w:szCs w:val="22"/>
          <w:lang w:eastAsia="hi-IN" w:bidi="hi-IN"/>
        </w:rPr>
      </w:pPr>
      <w:r w:rsidRPr="00FB5623">
        <w:rPr>
          <w:rFonts w:ascii="Calibri" w:eastAsia="SimSun" w:hAnsi="Calibri" w:cs="Mangal"/>
          <w:b/>
          <w:bCs/>
          <w:kern w:val="1"/>
          <w:sz w:val="22"/>
          <w:szCs w:val="22"/>
          <w:lang w:eastAsia="hi-IN" w:bidi="hi-IN"/>
        </w:rPr>
        <w:lastRenderedPageBreak/>
        <w:t>Assignment Prompt</w:t>
      </w:r>
      <w:r>
        <w:rPr>
          <w:rFonts w:ascii="Calibri" w:eastAsia="SimSun" w:hAnsi="Calibri" w:cs="Mangal"/>
          <w:b/>
          <w:bCs/>
          <w:kern w:val="1"/>
          <w:sz w:val="22"/>
          <w:szCs w:val="22"/>
          <w:lang w:eastAsia="hi-IN" w:bidi="hi-IN"/>
        </w:rPr>
        <w:t xml:space="preserve"> -- </w:t>
      </w:r>
      <w:r w:rsidRPr="00FB5623">
        <w:rPr>
          <w:rFonts w:ascii="Calibri" w:eastAsia="SimSun" w:hAnsi="Calibri" w:cs="Mangal"/>
          <w:kern w:val="1"/>
          <w:sz w:val="22"/>
          <w:szCs w:val="22"/>
          <w:lang w:eastAsia="hi-IN" w:bidi="hi-IN"/>
        </w:rPr>
        <w:t xml:space="preserve">A critical examination: </w:t>
      </w:r>
      <w:r w:rsidRPr="00FB5623">
        <w:rPr>
          <w:rFonts w:ascii="Calibri" w:eastAsia="SimSun" w:hAnsi="Calibri" w:cs="Mangal"/>
          <w:i/>
          <w:iCs/>
          <w:kern w:val="1"/>
          <w:sz w:val="22"/>
          <w:szCs w:val="22"/>
          <w:lang w:eastAsia="hi-IN" w:bidi="hi-IN"/>
        </w:rPr>
        <w:t>There's a Hair in My Dirt</w:t>
      </w:r>
      <w:r w:rsidRPr="00FB5623">
        <w:rPr>
          <w:rFonts w:ascii="Calibri" w:eastAsia="SimSun" w:hAnsi="Calibri" w:cs="Mangal"/>
          <w:kern w:val="1"/>
          <w:sz w:val="22"/>
          <w:szCs w:val="22"/>
          <w:lang w:eastAsia="hi-IN" w:bidi="hi-IN"/>
        </w:rPr>
        <w:t xml:space="preserve"> by Gary Larson</w:t>
      </w:r>
    </w:p>
    <w:p w:rsidR="00FB5623" w:rsidRDefault="00FB5623" w:rsidP="00FB5623">
      <w:pPr>
        <w:widowControl w:val="0"/>
        <w:suppressAutoHyphens/>
        <w:rPr>
          <w:rFonts w:ascii="Calibri" w:eastAsia="SimSun" w:hAnsi="Calibri" w:cs="Mangal"/>
          <w:b/>
          <w:bCs/>
          <w:kern w:val="1"/>
          <w:sz w:val="22"/>
          <w:szCs w:val="22"/>
          <w:lang w:eastAsia="hi-IN" w:bidi="hi-IN"/>
        </w:rPr>
      </w:pPr>
    </w:p>
    <w:p w:rsidR="00FB5623" w:rsidRPr="00FB5623" w:rsidRDefault="00FB5623" w:rsidP="00FB5623">
      <w:pPr>
        <w:widowControl w:val="0"/>
        <w:suppressAutoHyphens/>
        <w:rPr>
          <w:rFonts w:ascii="Calibri" w:eastAsia="SimSun" w:hAnsi="Calibri" w:cs="Mangal"/>
          <w:kern w:val="1"/>
          <w:sz w:val="22"/>
          <w:szCs w:val="22"/>
          <w:lang w:eastAsia="hi-IN" w:bidi="hi-IN"/>
        </w:rPr>
      </w:pPr>
      <w:r w:rsidRPr="00FB5623">
        <w:rPr>
          <w:rFonts w:ascii="Calibri" w:eastAsia="SimSun" w:hAnsi="Calibri" w:cs="Mangal"/>
          <w:kern w:val="1"/>
          <w:sz w:val="22"/>
          <w:szCs w:val="22"/>
          <w:lang w:eastAsia="hi-IN" w:bidi="hi-IN"/>
        </w:rPr>
        <w:t>Imagine that you have been hired as a curriculum consultant for the Texas State Board of Education.  Starting at the age of kindergarten and continuing through elementary school, the Texas educational standards suggest that young children students should be able to:</w:t>
      </w:r>
    </w:p>
    <w:p w:rsidR="00FB5623" w:rsidRPr="00FB5623" w:rsidRDefault="00FB5623" w:rsidP="00FB5623">
      <w:pPr>
        <w:widowControl w:val="0"/>
        <w:suppressAutoHyphens/>
        <w:ind w:left="270"/>
        <w:rPr>
          <w:rFonts w:ascii="Calibri" w:eastAsia="SimSun" w:hAnsi="Calibri" w:cs="Mangal"/>
          <w:kern w:val="1"/>
          <w:sz w:val="22"/>
          <w:szCs w:val="22"/>
          <w:lang w:eastAsia="hi-IN" w:bidi="hi-IN"/>
        </w:rPr>
      </w:pPr>
      <w:r>
        <w:rPr>
          <w:rFonts w:ascii="Calibri" w:eastAsia="SimSun" w:hAnsi="Calibri" w:cs="Mangal"/>
          <w:kern w:val="1"/>
          <w:sz w:val="22"/>
          <w:szCs w:val="22"/>
          <w:lang w:eastAsia="hi-IN" w:bidi="hi-IN"/>
        </w:rPr>
        <w:t xml:space="preserve">1. </w:t>
      </w:r>
      <w:r w:rsidRPr="00FB5623">
        <w:rPr>
          <w:rFonts w:ascii="Calibri" w:eastAsia="SimSun" w:hAnsi="Calibri" w:cs="Mangal"/>
          <w:kern w:val="1"/>
          <w:sz w:val="22"/>
          <w:szCs w:val="22"/>
          <w:lang w:eastAsia="hi-IN" w:bidi="hi-IN"/>
        </w:rPr>
        <w:t>Demonstrate how to use, conserve, and dispose of natural resources and materials such as conserving water and reusing or recycling paper, plastic, and metal.</w:t>
      </w:r>
    </w:p>
    <w:p w:rsidR="00FB5623" w:rsidRPr="00FB5623" w:rsidRDefault="00FB5623" w:rsidP="00FB5623">
      <w:pPr>
        <w:widowControl w:val="0"/>
        <w:suppressAutoHyphens/>
        <w:ind w:left="270"/>
        <w:rPr>
          <w:rFonts w:ascii="Calibri" w:eastAsia="SimSun" w:hAnsi="Calibri" w:cs="Mangal"/>
          <w:kern w:val="1"/>
          <w:sz w:val="22"/>
          <w:szCs w:val="22"/>
          <w:lang w:eastAsia="hi-IN" w:bidi="hi-IN"/>
        </w:rPr>
      </w:pPr>
      <w:r>
        <w:rPr>
          <w:rFonts w:ascii="Calibri" w:eastAsia="SimSun" w:hAnsi="Calibri" w:cs="Mangal"/>
          <w:kern w:val="1"/>
          <w:sz w:val="22"/>
          <w:szCs w:val="22"/>
          <w:lang w:eastAsia="hi-IN" w:bidi="hi-IN"/>
        </w:rPr>
        <w:t xml:space="preserve">2. </w:t>
      </w:r>
      <w:r w:rsidRPr="00FB5623">
        <w:rPr>
          <w:rFonts w:ascii="Calibri" w:eastAsia="SimSun" w:hAnsi="Calibri" w:cs="Mangal"/>
          <w:kern w:val="1"/>
          <w:sz w:val="22"/>
          <w:szCs w:val="22"/>
          <w:lang w:eastAsia="hi-IN" w:bidi="hi-IN"/>
        </w:rPr>
        <w:t xml:space="preserve">Ask questions about organisms, objects, and events observed in the natural world; </w:t>
      </w:r>
    </w:p>
    <w:p w:rsidR="00FB5623" w:rsidRPr="00FB5623" w:rsidRDefault="00FB5623" w:rsidP="00FB5623">
      <w:pPr>
        <w:widowControl w:val="0"/>
        <w:suppressAutoHyphens/>
        <w:ind w:left="270"/>
        <w:rPr>
          <w:rFonts w:ascii="Calibri" w:eastAsia="SimSun" w:hAnsi="Calibri" w:cs="Mangal"/>
          <w:kern w:val="1"/>
          <w:sz w:val="22"/>
          <w:szCs w:val="22"/>
          <w:lang w:eastAsia="hi-IN" w:bidi="hi-IN"/>
        </w:rPr>
      </w:pPr>
      <w:r>
        <w:rPr>
          <w:rFonts w:ascii="Calibri" w:eastAsia="SimSun" w:hAnsi="Calibri" w:cs="Mangal"/>
          <w:kern w:val="1"/>
          <w:sz w:val="22"/>
          <w:szCs w:val="22"/>
          <w:lang w:eastAsia="hi-IN" w:bidi="hi-IN"/>
        </w:rPr>
        <w:t xml:space="preserve">3. </w:t>
      </w:r>
      <w:r w:rsidRPr="00FB5623">
        <w:rPr>
          <w:rFonts w:ascii="Calibri" w:eastAsia="SimSun" w:hAnsi="Calibri" w:cs="Mangal"/>
          <w:kern w:val="1"/>
          <w:sz w:val="22"/>
          <w:szCs w:val="22"/>
          <w:lang w:eastAsia="hi-IN" w:bidi="hi-IN"/>
        </w:rPr>
        <w:t xml:space="preserve">Differentiate between living and nonliving things based upon whether they have basic needs and produce offspring; </w:t>
      </w:r>
    </w:p>
    <w:p w:rsidR="00FB5623" w:rsidRPr="00FB5623" w:rsidRDefault="00FB5623" w:rsidP="00FB5623">
      <w:pPr>
        <w:widowControl w:val="0"/>
        <w:suppressAutoHyphens/>
        <w:ind w:left="270"/>
        <w:rPr>
          <w:rFonts w:ascii="Calibri" w:eastAsia="SimSun" w:hAnsi="Calibri" w:cs="Mangal"/>
          <w:kern w:val="1"/>
          <w:sz w:val="22"/>
          <w:szCs w:val="22"/>
          <w:lang w:eastAsia="hi-IN" w:bidi="hi-IN"/>
        </w:rPr>
      </w:pPr>
      <w:r>
        <w:rPr>
          <w:rFonts w:ascii="Calibri" w:eastAsia="SimSun" w:hAnsi="Calibri" w:cs="Mangal"/>
          <w:kern w:val="1"/>
          <w:sz w:val="22"/>
          <w:szCs w:val="22"/>
          <w:lang w:eastAsia="hi-IN" w:bidi="hi-IN"/>
        </w:rPr>
        <w:t xml:space="preserve">4. </w:t>
      </w:r>
      <w:r w:rsidRPr="00FB5623">
        <w:rPr>
          <w:rFonts w:ascii="Calibri" w:eastAsia="SimSun" w:hAnsi="Calibri" w:cs="Mangal"/>
          <w:kern w:val="1"/>
          <w:sz w:val="22"/>
          <w:szCs w:val="22"/>
          <w:lang w:eastAsia="hi-IN" w:bidi="hi-IN"/>
        </w:rPr>
        <w:t>Examine evidence that living organisms have basic needs such as food, water, and shelter for animals and air, water, nutrients, sunlight, and space for plants; and</w:t>
      </w:r>
    </w:p>
    <w:p w:rsidR="00FB5623" w:rsidRPr="00FB5623" w:rsidRDefault="00FB5623" w:rsidP="00FB5623">
      <w:pPr>
        <w:widowControl w:val="0"/>
        <w:suppressAutoHyphens/>
        <w:ind w:left="270"/>
        <w:rPr>
          <w:rFonts w:ascii="Calibri" w:eastAsia="SimSun" w:hAnsi="Calibri" w:cs="Mangal"/>
          <w:kern w:val="1"/>
          <w:sz w:val="22"/>
          <w:szCs w:val="22"/>
          <w:lang w:eastAsia="hi-IN" w:bidi="hi-IN"/>
        </w:rPr>
      </w:pPr>
      <w:r>
        <w:rPr>
          <w:rFonts w:ascii="Calibri" w:eastAsia="SimSun" w:hAnsi="Calibri" w:cs="Mangal"/>
          <w:kern w:val="1"/>
          <w:sz w:val="22"/>
          <w:szCs w:val="22"/>
          <w:lang w:eastAsia="hi-IN" w:bidi="hi-IN"/>
        </w:rPr>
        <w:t xml:space="preserve">5. </w:t>
      </w:r>
      <w:r w:rsidRPr="00FB5623">
        <w:rPr>
          <w:rFonts w:ascii="Calibri" w:eastAsia="SimSun" w:hAnsi="Calibri" w:cs="Mangal"/>
          <w:kern w:val="1"/>
          <w:sz w:val="22"/>
          <w:szCs w:val="22"/>
          <w:lang w:eastAsia="hi-IN" w:bidi="hi-IN"/>
        </w:rPr>
        <w:t xml:space="preserve">Gather evidence of interdependence among living organisms such as energy transfer through food chains and animals using plants for shelter. </w:t>
      </w:r>
    </w:p>
    <w:p w:rsidR="00FB5623" w:rsidRPr="00FB5623" w:rsidRDefault="00FB5623" w:rsidP="00FB5623">
      <w:pPr>
        <w:widowControl w:val="0"/>
        <w:suppressAutoHyphens/>
        <w:ind w:left="709"/>
        <w:rPr>
          <w:rFonts w:ascii="Calibri" w:eastAsia="SimSun" w:hAnsi="Calibri" w:cs="Mangal"/>
          <w:kern w:val="1"/>
          <w:sz w:val="22"/>
          <w:szCs w:val="22"/>
          <w:lang w:eastAsia="hi-IN" w:bidi="hi-IN"/>
        </w:rPr>
      </w:pPr>
    </w:p>
    <w:p w:rsidR="00FB5623" w:rsidRPr="00FB5623" w:rsidRDefault="00FB5623" w:rsidP="00FB5623">
      <w:pPr>
        <w:widowControl w:val="0"/>
        <w:suppressAutoHyphens/>
        <w:rPr>
          <w:rFonts w:ascii="Calibri" w:eastAsia="SimSun" w:hAnsi="Calibri" w:cs="Mangal"/>
          <w:b/>
          <w:bCs/>
          <w:kern w:val="1"/>
          <w:sz w:val="22"/>
          <w:szCs w:val="22"/>
          <w:lang w:eastAsia="hi-IN" w:bidi="hi-IN"/>
        </w:rPr>
      </w:pPr>
      <w:r w:rsidRPr="00FB5623">
        <w:rPr>
          <w:rFonts w:ascii="Calibri" w:eastAsia="SimSun" w:hAnsi="Calibri" w:cs="Mangal"/>
          <w:b/>
          <w:bCs/>
          <w:kern w:val="1"/>
          <w:sz w:val="22"/>
          <w:szCs w:val="22"/>
          <w:lang w:eastAsia="hi-IN" w:bidi="hi-IN"/>
        </w:rPr>
        <w:t>Assignment:</w:t>
      </w:r>
    </w:p>
    <w:p w:rsidR="00FB5623" w:rsidRPr="00FB5623" w:rsidRDefault="00FB5623" w:rsidP="00FB5623">
      <w:pPr>
        <w:widowControl w:val="0"/>
        <w:suppressAutoHyphens/>
        <w:rPr>
          <w:rFonts w:ascii="Calibri" w:eastAsia="SimSun" w:hAnsi="Calibri" w:cs="Mangal"/>
          <w:b/>
          <w:bCs/>
          <w:kern w:val="1"/>
          <w:sz w:val="22"/>
          <w:szCs w:val="22"/>
          <w:lang w:eastAsia="hi-IN" w:bidi="hi-IN"/>
        </w:rPr>
      </w:pPr>
      <w:r w:rsidRPr="00FB5623">
        <w:rPr>
          <w:rFonts w:ascii="Calibri" w:eastAsia="SimSun" w:hAnsi="Calibri" w:cs="Mangal"/>
          <w:b/>
          <w:bCs/>
          <w:kern w:val="1"/>
          <w:sz w:val="22"/>
          <w:szCs w:val="22"/>
          <w:lang w:eastAsia="hi-IN" w:bidi="hi-IN"/>
        </w:rPr>
        <w:t xml:space="preserve">Drawing on the resources and discussions of our Biodiversity course, write a formal, cohesive 750-800 word essay that either recommends or discourages the adoption of </w:t>
      </w:r>
      <w:r w:rsidRPr="00FB5623">
        <w:rPr>
          <w:rFonts w:ascii="Calibri" w:eastAsia="SimSun" w:hAnsi="Calibri" w:cs="Mangal"/>
          <w:b/>
          <w:bCs/>
          <w:i/>
          <w:iCs/>
          <w:kern w:val="1"/>
          <w:sz w:val="22"/>
          <w:szCs w:val="22"/>
          <w:lang w:eastAsia="hi-IN" w:bidi="hi-IN"/>
        </w:rPr>
        <w:t xml:space="preserve">There's a Hair in My Dirt </w:t>
      </w:r>
      <w:r w:rsidRPr="00FB5623">
        <w:rPr>
          <w:rFonts w:ascii="Calibri" w:eastAsia="SimSun" w:hAnsi="Calibri" w:cs="Mangal"/>
          <w:b/>
          <w:bCs/>
          <w:kern w:val="1"/>
          <w:sz w:val="22"/>
          <w:szCs w:val="22"/>
          <w:lang w:eastAsia="hi-IN" w:bidi="hi-IN"/>
        </w:rPr>
        <w:t>as a means to teach biodiversity and conservation principles to elementary school students (consider age in your essay).</w:t>
      </w:r>
    </w:p>
    <w:p w:rsidR="00FB5623" w:rsidRPr="00FB5623" w:rsidRDefault="00FB5623" w:rsidP="00FB5623">
      <w:pPr>
        <w:widowControl w:val="0"/>
        <w:suppressAutoHyphens/>
        <w:rPr>
          <w:rFonts w:ascii="Calibri" w:eastAsia="SimSun" w:hAnsi="Calibri" w:cs="Mangal"/>
          <w:kern w:val="1"/>
          <w:sz w:val="22"/>
          <w:szCs w:val="22"/>
          <w:lang w:eastAsia="hi-IN" w:bidi="hi-IN"/>
        </w:rPr>
      </w:pPr>
    </w:p>
    <w:p w:rsidR="00FB5623" w:rsidRPr="00FB5623" w:rsidRDefault="00FB5623" w:rsidP="00FB5623">
      <w:pPr>
        <w:widowControl w:val="0"/>
        <w:suppressAutoHyphens/>
        <w:rPr>
          <w:rFonts w:ascii="Calibri" w:eastAsia="SimSun" w:hAnsi="Calibri" w:cs="Mangal"/>
          <w:kern w:val="1"/>
          <w:sz w:val="22"/>
          <w:szCs w:val="22"/>
          <w:u w:val="single"/>
          <w:lang w:eastAsia="hi-IN" w:bidi="hi-IN"/>
        </w:rPr>
      </w:pPr>
      <w:r w:rsidRPr="00FB5623">
        <w:rPr>
          <w:rFonts w:ascii="Calibri" w:eastAsia="SimSun" w:hAnsi="Calibri" w:cs="Mangal"/>
          <w:kern w:val="1"/>
          <w:sz w:val="22"/>
          <w:szCs w:val="22"/>
          <w:u w:val="single"/>
          <w:lang w:eastAsia="hi-IN" w:bidi="hi-IN"/>
        </w:rPr>
        <w:t>Writing Expectations:</w:t>
      </w:r>
    </w:p>
    <w:p w:rsidR="00FB5623" w:rsidRPr="00FB5623" w:rsidRDefault="00FB5623" w:rsidP="00FB5623">
      <w:pPr>
        <w:widowControl w:val="0"/>
        <w:numPr>
          <w:ilvl w:val="0"/>
          <w:numId w:val="8"/>
        </w:numPr>
        <w:suppressAutoHyphens/>
        <w:ind w:left="1426"/>
        <w:rPr>
          <w:rFonts w:ascii="Calibri" w:eastAsia="SimSun" w:hAnsi="Calibri" w:cs="Mangal"/>
          <w:kern w:val="1"/>
          <w:sz w:val="22"/>
          <w:szCs w:val="22"/>
          <w:lang w:eastAsia="hi-IN" w:bidi="hi-IN"/>
        </w:rPr>
      </w:pPr>
      <w:r w:rsidRPr="00FB5623">
        <w:rPr>
          <w:rFonts w:ascii="Calibri" w:eastAsia="SimSun" w:hAnsi="Calibri" w:cs="Mangal"/>
          <w:kern w:val="1"/>
          <w:sz w:val="22"/>
          <w:szCs w:val="22"/>
          <w:lang w:eastAsia="hi-IN" w:bidi="hi-IN"/>
        </w:rPr>
        <w:t>Essay includes a clear statement of support or disapproval for using the cartoon to teach young children (range 5 – 10), one or more of the above principles with justification.  Justification includes providing a clear argument supported with a reasoned discussion of logical and compelling evidence.</w:t>
      </w:r>
    </w:p>
    <w:p w:rsidR="00FB5623" w:rsidRPr="00FB5623" w:rsidRDefault="00FB5623" w:rsidP="00FB5623">
      <w:pPr>
        <w:widowControl w:val="0"/>
        <w:numPr>
          <w:ilvl w:val="0"/>
          <w:numId w:val="8"/>
        </w:numPr>
        <w:suppressAutoHyphens/>
        <w:ind w:left="1426"/>
        <w:rPr>
          <w:rFonts w:ascii="Calibri" w:eastAsia="SimSun" w:hAnsi="Calibri" w:cs="Mangal"/>
          <w:kern w:val="1"/>
          <w:sz w:val="22"/>
          <w:szCs w:val="22"/>
          <w:lang w:eastAsia="hi-IN" w:bidi="hi-IN"/>
        </w:rPr>
      </w:pPr>
      <w:r w:rsidRPr="00FB5623">
        <w:rPr>
          <w:rFonts w:ascii="Calibri" w:eastAsia="SimSun" w:hAnsi="Calibri" w:cs="Mangal"/>
          <w:kern w:val="1"/>
          <w:sz w:val="22"/>
          <w:szCs w:val="22"/>
          <w:lang w:eastAsia="hi-IN" w:bidi="hi-IN"/>
        </w:rPr>
        <w:t>Essay contains a critical review of two biological principles from Larson’s text.  Support your argument with reference to passages in Larson’s text that get biodiversity right or wrong given your understanding of the subject.</w:t>
      </w:r>
    </w:p>
    <w:p w:rsidR="00FB5623" w:rsidRPr="00FB5623" w:rsidRDefault="00FB5623" w:rsidP="00FB5623">
      <w:pPr>
        <w:widowControl w:val="0"/>
        <w:numPr>
          <w:ilvl w:val="0"/>
          <w:numId w:val="8"/>
        </w:numPr>
        <w:suppressAutoHyphens/>
        <w:ind w:left="1426"/>
        <w:rPr>
          <w:rFonts w:ascii="Calibri" w:eastAsia="SimSun" w:hAnsi="Calibri" w:cs="Mangal"/>
          <w:b/>
          <w:kern w:val="1"/>
          <w:sz w:val="22"/>
          <w:szCs w:val="22"/>
          <w:lang w:eastAsia="hi-IN" w:bidi="hi-IN"/>
        </w:rPr>
      </w:pPr>
      <w:r w:rsidRPr="00FB5623">
        <w:rPr>
          <w:rFonts w:ascii="Calibri" w:eastAsia="SimSun" w:hAnsi="Calibri" w:cs="Mangal"/>
          <w:kern w:val="1"/>
          <w:sz w:val="22"/>
          <w:szCs w:val="22"/>
          <w:lang w:eastAsia="hi-IN" w:bidi="hi-IN"/>
        </w:rPr>
        <w:t>Essay makes clear connections (3 minimum) to course content</w:t>
      </w:r>
      <w:r w:rsidRPr="00FB5623">
        <w:rPr>
          <w:rFonts w:ascii="Calibri" w:eastAsia="SimSun" w:hAnsi="Calibri" w:cs="Mangal"/>
          <w:b/>
          <w:kern w:val="1"/>
          <w:sz w:val="22"/>
          <w:szCs w:val="22"/>
          <w:lang w:eastAsia="hi-IN" w:bidi="hi-IN"/>
        </w:rPr>
        <w:t>, including the support of at least one primary literature paper</w:t>
      </w:r>
    </w:p>
    <w:p w:rsidR="00FB5623" w:rsidRPr="00FB5623" w:rsidRDefault="00FB5623" w:rsidP="00FB5623">
      <w:pPr>
        <w:widowControl w:val="0"/>
        <w:numPr>
          <w:ilvl w:val="0"/>
          <w:numId w:val="8"/>
        </w:numPr>
        <w:suppressAutoHyphens/>
        <w:ind w:left="1426"/>
        <w:rPr>
          <w:rFonts w:ascii="Calibri" w:eastAsia="SimSun" w:hAnsi="Calibri" w:cs="Mangal"/>
          <w:kern w:val="1"/>
          <w:sz w:val="22"/>
          <w:szCs w:val="22"/>
          <w:lang w:eastAsia="hi-IN" w:bidi="hi-IN"/>
        </w:rPr>
      </w:pPr>
      <w:r w:rsidRPr="00FB5623">
        <w:rPr>
          <w:rFonts w:ascii="Calibri" w:eastAsia="SimSun" w:hAnsi="Calibri" w:cs="Mangal"/>
          <w:kern w:val="1"/>
          <w:sz w:val="22"/>
          <w:szCs w:val="22"/>
          <w:lang w:eastAsia="hi-IN" w:bidi="hi-IN"/>
        </w:rPr>
        <w:t>Essay format adopts engaging title, style, formal structure, active voice and close attention to proper grammar.</w:t>
      </w:r>
    </w:p>
    <w:p w:rsidR="00FB5623" w:rsidRPr="00FB5623" w:rsidRDefault="00FB5623" w:rsidP="00FB5623">
      <w:pPr>
        <w:widowControl w:val="0"/>
        <w:suppressAutoHyphens/>
        <w:rPr>
          <w:rFonts w:ascii="Calibri" w:eastAsia="SimSun" w:hAnsi="Calibri" w:cs="Mangal"/>
          <w:i/>
          <w:iCs/>
          <w:kern w:val="1"/>
          <w:sz w:val="22"/>
          <w:szCs w:val="22"/>
          <w:lang w:eastAsia="hi-IN" w:bidi="hi-IN"/>
        </w:rPr>
      </w:pPr>
    </w:p>
    <w:p w:rsidR="00FB5623" w:rsidRPr="00FB5623" w:rsidRDefault="00FB5623" w:rsidP="00FB5623">
      <w:pPr>
        <w:widowControl w:val="0"/>
        <w:suppressAutoHyphens/>
        <w:rPr>
          <w:rFonts w:ascii="Calibri" w:eastAsia="SimSun" w:hAnsi="Calibri" w:cs="Mangal"/>
          <w:kern w:val="1"/>
          <w:lang w:eastAsia="hi-IN" w:bidi="hi-IN"/>
        </w:rPr>
      </w:pPr>
      <w:r>
        <w:rPr>
          <w:rFonts w:eastAsia="SimSun" w:cs="Mangal"/>
          <w:noProof/>
          <w:kern w:val="1"/>
        </w:rPr>
        <w:drawing>
          <wp:anchor distT="0" distB="0" distL="0" distR="0" simplePos="0" relativeHeight="251659264" behindDoc="0" locked="0" layoutInCell="1" allowOverlap="1" wp14:anchorId="0E601A5B" wp14:editId="17DFBC19">
            <wp:simplePos x="0" y="0"/>
            <wp:positionH relativeFrom="column">
              <wp:posOffset>1510030</wp:posOffset>
            </wp:positionH>
            <wp:positionV relativeFrom="paragraph">
              <wp:posOffset>391795</wp:posOffset>
            </wp:positionV>
            <wp:extent cx="3026410" cy="196977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410" cy="1969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B5623">
        <w:rPr>
          <w:rFonts w:ascii="Calibri" w:eastAsia="SimSun" w:hAnsi="Calibri" w:cs="Mangal"/>
          <w:kern w:val="1"/>
          <w:sz w:val="22"/>
          <w:szCs w:val="22"/>
          <w:lang w:eastAsia="hi-IN" w:bidi="hi-IN"/>
        </w:rPr>
        <w:t xml:space="preserve">Reference: Chapter 112. </w:t>
      </w:r>
      <w:proofErr w:type="gramStart"/>
      <w:r w:rsidRPr="00FB5623">
        <w:rPr>
          <w:rFonts w:ascii="Calibri" w:eastAsia="SimSun" w:hAnsi="Calibri" w:cs="Mangal"/>
          <w:kern w:val="1"/>
          <w:sz w:val="22"/>
          <w:szCs w:val="22"/>
          <w:lang w:eastAsia="hi-IN" w:bidi="hi-IN"/>
        </w:rPr>
        <w:t>Texas Essential Knowledge and Skills for Science Subchapter A. Elementary.</w:t>
      </w:r>
      <w:proofErr w:type="gramEnd"/>
      <w:r w:rsidRPr="00FB5623">
        <w:rPr>
          <w:rFonts w:ascii="Calibri" w:eastAsia="SimSun" w:hAnsi="Calibri" w:cs="Mangal"/>
          <w:kern w:val="1"/>
          <w:sz w:val="22"/>
          <w:szCs w:val="22"/>
          <w:lang w:eastAsia="hi-IN" w:bidi="hi-IN"/>
        </w:rPr>
        <w:t xml:space="preserve">  </w:t>
      </w:r>
      <w:proofErr w:type="gramStart"/>
      <w:r w:rsidRPr="00FB5623">
        <w:rPr>
          <w:rFonts w:ascii="Calibri" w:eastAsia="SimSun" w:hAnsi="Calibri" w:cs="Mangal"/>
          <w:kern w:val="1"/>
          <w:sz w:val="22"/>
          <w:szCs w:val="22"/>
          <w:lang w:eastAsia="hi-IN" w:bidi="hi-IN"/>
        </w:rPr>
        <w:t>Updated 24 August 2010.</w:t>
      </w:r>
      <w:proofErr w:type="gramEnd"/>
      <w:r w:rsidRPr="00FB5623">
        <w:rPr>
          <w:rFonts w:ascii="Calibri" w:eastAsia="SimSun" w:hAnsi="Calibri" w:cs="Mangal"/>
          <w:kern w:val="1"/>
          <w:sz w:val="22"/>
          <w:szCs w:val="22"/>
          <w:lang w:eastAsia="hi-IN" w:bidi="hi-IN"/>
        </w:rPr>
        <w:t xml:space="preserve">  Accessed </w:t>
      </w:r>
      <w:proofErr w:type="gramStart"/>
      <w:r w:rsidRPr="00FB5623">
        <w:rPr>
          <w:rFonts w:ascii="Calibri" w:eastAsia="SimSun" w:hAnsi="Calibri" w:cs="Mangal"/>
          <w:kern w:val="1"/>
          <w:sz w:val="22"/>
          <w:szCs w:val="22"/>
          <w:lang w:eastAsia="hi-IN" w:bidi="hi-IN"/>
        </w:rPr>
        <w:t xml:space="preserve">from  </w:t>
      </w:r>
      <w:proofErr w:type="gramEnd"/>
      <w:hyperlink r:id="rId9" w:history="1">
        <w:r w:rsidRPr="00FB5623">
          <w:rPr>
            <w:rFonts w:ascii="Calibri" w:eastAsia="SimSun" w:hAnsi="Calibri" w:cs="Mangal"/>
            <w:color w:val="000080"/>
            <w:kern w:val="1"/>
            <w:sz w:val="22"/>
            <w:szCs w:val="22"/>
            <w:u w:val="single"/>
            <w:lang/>
          </w:rPr>
          <w:t>ritter.tea.state.tx.us/rules/tac/chapter112/ch112a.html</w:t>
        </w:r>
      </w:hyperlink>
      <w:r w:rsidRPr="00FB5623">
        <w:rPr>
          <w:rFonts w:ascii="Calibri" w:eastAsia="SimSun" w:hAnsi="Calibri" w:cs="Mangal"/>
          <w:kern w:val="1"/>
          <w:lang w:eastAsia="hi-IN" w:bidi="hi-IN"/>
        </w:rPr>
        <w:t xml:space="preserve">   </w:t>
      </w:r>
    </w:p>
    <w:p w:rsidR="006C6C23" w:rsidRPr="00FB5623" w:rsidRDefault="006C6C23" w:rsidP="00AF3CCC">
      <w:pPr>
        <w:rPr>
          <w:rFonts w:ascii="Palatino" w:hAnsi="Palatino"/>
          <w:b/>
          <w:bCs/>
          <w:sz w:val="28"/>
          <w:szCs w:val="28"/>
        </w:rPr>
      </w:pPr>
    </w:p>
    <w:sectPr w:rsidR="006C6C23" w:rsidRPr="00FB5623" w:rsidSect="00FB5623">
      <w:footerReference w:type="default" r:id="rId10"/>
      <w:pgSz w:w="12240" w:h="15840"/>
      <w:pgMar w:top="90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C5" w:rsidRDefault="00FF53C5" w:rsidP="00FD18FA">
      <w:r>
        <w:separator/>
      </w:r>
    </w:p>
  </w:endnote>
  <w:endnote w:type="continuationSeparator" w:id="0">
    <w:p w:rsidR="00FF53C5" w:rsidRDefault="00FF53C5" w:rsidP="00F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FA" w:rsidRDefault="00FD18FA"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The Debby Ellis Writing Center</w:t>
    </w:r>
  </w:p>
  <w:p w:rsidR="00FD18FA" w:rsidRPr="00FD18FA" w:rsidRDefault="00FB5623"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Designing Rubrics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C5" w:rsidRDefault="00FF53C5" w:rsidP="00FD18FA">
      <w:r>
        <w:separator/>
      </w:r>
    </w:p>
  </w:footnote>
  <w:footnote w:type="continuationSeparator" w:id="0">
    <w:p w:rsidR="00FF53C5" w:rsidRDefault="00FF53C5" w:rsidP="00FD1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
    <w:nsid w:val="00000002"/>
    <w:multiLevelType w:val="multilevel"/>
    <w:tmpl w:val="00000002"/>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nsid w:val="12590731"/>
    <w:multiLevelType w:val="hybridMultilevel"/>
    <w:tmpl w:val="0E5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B70DE"/>
    <w:multiLevelType w:val="hybridMultilevel"/>
    <w:tmpl w:val="66E4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4D7CE2"/>
    <w:multiLevelType w:val="hybridMultilevel"/>
    <w:tmpl w:val="99F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66A43"/>
    <w:multiLevelType w:val="hybridMultilevel"/>
    <w:tmpl w:val="D07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F0360"/>
    <w:multiLevelType w:val="hybridMultilevel"/>
    <w:tmpl w:val="73AE74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548C4743"/>
    <w:multiLevelType w:val="hybridMultilevel"/>
    <w:tmpl w:val="341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FA"/>
    <w:rsid w:val="00302619"/>
    <w:rsid w:val="00360267"/>
    <w:rsid w:val="00486BD7"/>
    <w:rsid w:val="006441E4"/>
    <w:rsid w:val="00644C17"/>
    <w:rsid w:val="006A6F87"/>
    <w:rsid w:val="006C6C23"/>
    <w:rsid w:val="007410A2"/>
    <w:rsid w:val="00AF3CCC"/>
    <w:rsid w:val="00B2361F"/>
    <w:rsid w:val="00B75E39"/>
    <w:rsid w:val="00BB5DCF"/>
    <w:rsid w:val="00FB5623"/>
    <w:rsid w:val="00FD18FA"/>
    <w:rsid w:val="00FF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tter.tea.state.tx.us/rules/tac/chapter112/ch112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Library Company of Philadelphia</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Insider Medical</dc:creator>
  <cp:lastModifiedBy>reader reader</cp:lastModifiedBy>
  <cp:revision>2</cp:revision>
  <dcterms:created xsi:type="dcterms:W3CDTF">2014-07-18T02:39:00Z</dcterms:created>
  <dcterms:modified xsi:type="dcterms:W3CDTF">2014-07-18T02:39:00Z</dcterms:modified>
</cp:coreProperties>
</file>